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5F" w:rsidRDefault="00AD329E" w:rsidP="00AD329E">
      <w:pPr>
        <w:jc w:val="center"/>
        <w:rPr>
          <w:rFonts w:ascii="Times New Roman" w:hAnsi="Times New Roman" w:cs="Times New Roman"/>
          <w:b/>
          <w:sz w:val="28"/>
        </w:rPr>
      </w:pPr>
      <w:r w:rsidRPr="00AD329E">
        <w:rPr>
          <w:rFonts w:ascii="Times New Roman" w:hAnsi="Times New Roman" w:cs="Times New Roman"/>
          <w:b/>
          <w:sz w:val="28"/>
        </w:rPr>
        <w:t>Информация о доступности объектов туристического показа</w:t>
      </w:r>
    </w:p>
    <w:tbl>
      <w:tblPr>
        <w:tblStyle w:val="a3"/>
        <w:tblW w:w="10173" w:type="dxa"/>
        <w:tblLayout w:type="fixed"/>
        <w:tblLook w:val="04A0"/>
      </w:tblPr>
      <w:tblGrid>
        <w:gridCol w:w="2376"/>
        <w:gridCol w:w="4111"/>
        <w:gridCol w:w="1276"/>
        <w:gridCol w:w="1701"/>
        <w:gridCol w:w="709"/>
      </w:tblGrid>
      <w:tr w:rsidR="00AD329E" w:rsidRPr="00E241F2" w:rsidTr="00101C7D">
        <w:tc>
          <w:tcPr>
            <w:tcW w:w="2376" w:type="dxa"/>
          </w:tcPr>
          <w:p w:rsidR="00AD329E" w:rsidRPr="00101C7D" w:rsidRDefault="00AD329E" w:rsidP="00AD3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C7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показа (</w:t>
            </w:r>
            <w:proofErr w:type="spellStart"/>
            <w:proofErr w:type="gramStart"/>
            <w:r w:rsidRPr="00101C7D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</w:t>
            </w:r>
            <w:r w:rsidR="00101C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1C7D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proofErr w:type="gramEnd"/>
            <w:r w:rsidRPr="00101C7D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4111" w:type="dxa"/>
          </w:tcPr>
          <w:p w:rsidR="00AD329E" w:rsidRPr="00101C7D" w:rsidRDefault="00AD329E" w:rsidP="00AD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7D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1276" w:type="dxa"/>
          </w:tcPr>
          <w:p w:rsidR="00AD329E" w:rsidRPr="00101C7D" w:rsidRDefault="00AD329E" w:rsidP="0010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C7D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r w:rsidR="00101C7D"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  <w:proofErr w:type="spellEnd"/>
            <w:r w:rsidRPr="00101C7D">
              <w:rPr>
                <w:rFonts w:ascii="Times New Roman" w:hAnsi="Times New Roman" w:cs="Times New Roman"/>
                <w:sz w:val="20"/>
                <w:szCs w:val="20"/>
              </w:rPr>
              <w:t xml:space="preserve"> о транспортной доступности (наличие подъездных путей, стоянок парковок)</w:t>
            </w:r>
          </w:p>
        </w:tc>
        <w:tc>
          <w:tcPr>
            <w:tcW w:w="1701" w:type="dxa"/>
          </w:tcPr>
          <w:p w:rsidR="00AD329E" w:rsidRPr="00101C7D" w:rsidRDefault="00AD329E" w:rsidP="00AD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7D">
              <w:rPr>
                <w:rFonts w:ascii="Times New Roman" w:hAnsi="Times New Roman" w:cs="Times New Roman"/>
                <w:sz w:val="20"/>
                <w:szCs w:val="20"/>
              </w:rPr>
              <w:t>Потребность в обустройстве транспортной инфраструктуры (ремонт и строительство новых дорог, создание и обустройство стоянок, парковок</w:t>
            </w:r>
            <w:proofErr w:type="gramStart"/>
            <w:r w:rsidRPr="00101C7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9" w:type="dxa"/>
          </w:tcPr>
          <w:p w:rsidR="00AD329E" w:rsidRPr="00101C7D" w:rsidRDefault="00101C7D" w:rsidP="00AD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D329E" w:rsidRPr="00101C7D">
              <w:rPr>
                <w:rFonts w:ascii="Times New Roman" w:hAnsi="Times New Roman" w:cs="Times New Roman"/>
                <w:sz w:val="20"/>
                <w:szCs w:val="20"/>
              </w:rPr>
              <w:t>римечание</w:t>
            </w:r>
            <w:r w:rsidRPr="00101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329E" w:rsidRPr="00E241F2" w:rsidTr="00101C7D">
        <w:tc>
          <w:tcPr>
            <w:tcW w:w="2376" w:type="dxa"/>
          </w:tcPr>
          <w:p w:rsidR="00AD329E" w:rsidRPr="00E241F2" w:rsidRDefault="00AD329E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героям гражданской войны </w:t>
            </w:r>
          </w:p>
        </w:tc>
        <w:tc>
          <w:tcPr>
            <w:tcW w:w="4111" w:type="dxa"/>
          </w:tcPr>
          <w:p w:rsidR="00AD329E" w:rsidRPr="00E241F2" w:rsidRDefault="00AD329E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Стела на территории с. </w:t>
            </w:r>
            <w:proofErr w:type="gramStart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Агинского</w:t>
            </w:r>
            <w:proofErr w:type="gramEnd"/>
          </w:p>
        </w:tc>
        <w:tc>
          <w:tcPr>
            <w:tcW w:w="1276" w:type="dxa"/>
          </w:tcPr>
          <w:p w:rsidR="00AD329E" w:rsidRPr="00E241F2" w:rsidRDefault="00AD329E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1701" w:type="dxa"/>
          </w:tcPr>
          <w:p w:rsidR="00AD329E" w:rsidRPr="00E241F2" w:rsidRDefault="00AD329E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9" w:type="dxa"/>
          </w:tcPr>
          <w:p w:rsidR="00AD329E" w:rsidRPr="00E241F2" w:rsidRDefault="00AD329E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9E" w:rsidRPr="00E241F2" w:rsidTr="00101C7D">
        <w:tc>
          <w:tcPr>
            <w:tcW w:w="2376" w:type="dxa"/>
          </w:tcPr>
          <w:p w:rsidR="00AD329E" w:rsidRPr="00E241F2" w:rsidRDefault="00AD329E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Могилы героев ВОВ Советского союза </w:t>
            </w:r>
          </w:p>
        </w:tc>
        <w:tc>
          <w:tcPr>
            <w:tcW w:w="4111" w:type="dxa"/>
          </w:tcPr>
          <w:p w:rsidR="00AD329E" w:rsidRPr="00E241F2" w:rsidRDefault="00AD329E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Могилы </w:t>
            </w:r>
            <w:proofErr w:type="gramStart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 с. Кулижниково</w:t>
            </w:r>
          </w:p>
        </w:tc>
        <w:tc>
          <w:tcPr>
            <w:tcW w:w="1276" w:type="dxa"/>
          </w:tcPr>
          <w:p w:rsidR="00AD329E" w:rsidRPr="00E241F2" w:rsidRDefault="00AD329E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1701" w:type="dxa"/>
          </w:tcPr>
          <w:p w:rsidR="00AD329E" w:rsidRPr="00E241F2" w:rsidRDefault="00AD329E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9" w:type="dxa"/>
          </w:tcPr>
          <w:p w:rsidR="00AD329E" w:rsidRPr="00E241F2" w:rsidRDefault="00AD329E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9E" w:rsidRPr="00E241F2" w:rsidTr="00101C7D">
        <w:tc>
          <w:tcPr>
            <w:tcW w:w="2376" w:type="dxa"/>
          </w:tcPr>
          <w:p w:rsidR="00AD329E" w:rsidRPr="00E241F2" w:rsidRDefault="00AD329E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Скорбящей матери </w:t>
            </w:r>
          </w:p>
        </w:tc>
        <w:tc>
          <w:tcPr>
            <w:tcW w:w="4111" w:type="dxa"/>
          </w:tcPr>
          <w:p w:rsidR="00AD329E" w:rsidRPr="00E241F2" w:rsidRDefault="00AD329E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Памятник на территории с. Агинского, выполнен в виде скорбящей матери о сынах, погибших в ВОВ, на отдельных тумбах выгравированы имена и фамилии воинов района погибших в ВОВ</w:t>
            </w:r>
            <w:proofErr w:type="gramEnd"/>
          </w:p>
        </w:tc>
        <w:tc>
          <w:tcPr>
            <w:tcW w:w="1276" w:type="dxa"/>
          </w:tcPr>
          <w:p w:rsidR="00AD329E" w:rsidRPr="00E241F2" w:rsidRDefault="00AD329E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1701" w:type="dxa"/>
          </w:tcPr>
          <w:p w:rsidR="00AD329E" w:rsidRPr="00E241F2" w:rsidRDefault="00AD329E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9" w:type="dxa"/>
          </w:tcPr>
          <w:p w:rsidR="00AD329E" w:rsidRPr="00E241F2" w:rsidRDefault="00AD329E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70" w:rsidRPr="00E241F2" w:rsidTr="00101C7D">
        <w:tc>
          <w:tcPr>
            <w:tcW w:w="2376" w:type="dxa"/>
          </w:tcPr>
          <w:p w:rsidR="007A0070" w:rsidRPr="00E241F2" w:rsidRDefault="007A0070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Церковь святого Николая</w:t>
            </w:r>
          </w:p>
        </w:tc>
        <w:tc>
          <w:tcPr>
            <w:tcW w:w="4111" w:type="dxa"/>
          </w:tcPr>
          <w:p w:rsidR="007A0070" w:rsidRPr="00E241F2" w:rsidRDefault="007A0070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Построена</w:t>
            </w:r>
            <w:proofErr w:type="gramEnd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 в 2003 г.</w:t>
            </w:r>
          </w:p>
          <w:p w:rsidR="007A0070" w:rsidRPr="00E241F2" w:rsidRDefault="007A0070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в с. Агинское</w:t>
            </w:r>
          </w:p>
          <w:p w:rsidR="007A0070" w:rsidRPr="00E241F2" w:rsidRDefault="007A0070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на средства местной уроженки А. М. Котляр и ее супруга предпринимателя Ю. А. Котляр. Одноглавый четверик с </w:t>
            </w:r>
            <w:proofErr w:type="spellStart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пощипцовыми</w:t>
            </w:r>
            <w:proofErr w:type="spellEnd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завершениями фасадов и боковыми притворами, в </w:t>
            </w:r>
            <w:proofErr w:type="gramStart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западном</w:t>
            </w:r>
            <w:proofErr w:type="gramEnd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помещена звонница.</w:t>
            </w:r>
          </w:p>
        </w:tc>
        <w:tc>
          <w:tcPr>
            <w:tcW w:w="1276" w:type="dxa"/>
          </w:tcPr>
          <w:p w:rsidR="007A0070" w:rsidRPr="00E241F2" w:rsidRDefault="007A0070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1701" w:type="dxa"/>
          </w:tcPr>
          <w:p w:rsidR="007A0070" w:rsidRPr="00E241F2" w:rsidRDefault="007A0070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9" w:type="dxa"/>
          </w:tcPr>
          <w:p w:rsidR="007A0070" w:rsidRPr="00E241F2" w:rsidRDefault="007A0070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70" w:rsidRPr="00E241F2" w:rsidTr="00101C7D">
        <w:tc>
          <w:tcPr>
            <w:tcW w:w="2376" w:type="dxa"/>
          </w:tcPr>
          <w:p w:rsidR="007A0070" w:rsidRPr="007A0070" w:rsidRDefault="007A0070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70">
              <w:rPr>
                <w:rFonts w:ascii="Times New Roman" w:hAnsi="Times New Roman" w:cs="Times New Roman"/>
                <w:sz w:val="24"/>
                <w:szCs w:val="24"/>
              </w:rPr>
              <w:t>Церковь Покрова Пресвятой Богородицы</w:t>
            </w:r>
          </w:p>
          <w:p w:rsidR="007A0070" w:rsidRPr="00E241F2" w:rsidRDefault="007A0070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A0070" w:rsidRPr="00E241F2" w:rsidRDefault="007A0070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Построена в 1913 году в д. Вятка в память о рождении наследника, цесаревича и великого князя Алексея Николаевича. Ее деревянное здание, частично разобранное, но не рухнувшее, стоит до сих пор. Трогать его не решаются с тридцатых. </w:t>
            </w:r>
          </w:p>
        </w:tc>
        <w:tc>
          <w:tcPr>
            <w:tcW w:w="1276" w:type="dxa"/>
          </w:tcPr>
          <w:p w:rsidR="007A0070" w:rsidRPr="00E241F2" w:rsidRDefault="007A0070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0070" w:rsidRPr="00E241F2" w:rsidRDefault="007A0070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0070" w:rsidRPr="00E241F2" w:rsidRDefault="007A0070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70" w:rsidRPr="00E241F2" w:rsidTr="00101C7D">
        <w:tc>
          <w:tcPr>
            <w:tcW w:w="2376" w:type="dxa"/>
          </w:tcPr>
          <w:p w:rsidR="007A0070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Саянский краеведческий музей</w:t>
            </w:r>
            <w:r w:rsidR="007A0070"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A0070" w:rsidRPr="00E241F2" w:rsidRDefault="007A0070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с. Агинское, ул. Советская, 138</w:t>
            </w:r>
          </w:p>
          <w:p w:rsidR="007A0070" w:rsidRPr="00E241F2" w:rsidRDefault="007A0070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Проводит экскурсии и организует выставки</w:t>
            </w:r>
          </w:p>
        </w:tc>
        <w:tc>
          <w:tcPr>
            <w:tcW w:w="1276" w:type="dxa"/>
          </w:tcPr>
          <w:p w:rsidR="007A0070" w:rsidRPr="00E241F2" w:rsidRDefault="007A0070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1701" w:type="dxa"/>
          </w:tcPr>
          <w:p w:rsidR="007A0070" w:rsidRPr="00E241F2" w:rsidRDefault="007A0070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9" w:type="dxa"/>
          </w:tcPr>
          <w:p w:rsidR="007A0070" w:rsidRPr="00E241F2" w:rsidRDefault="007A0070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F2" w:rsidRPr="00E241F2" w:rsidTr="00101C7D">
        <w:tc>
          <w:tcPr>
            <w:tcW w:w="2376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Тинск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4111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Озеро находится в черте села. Мягкий водопад является развлечением для </w:t>
            </w:r>
            <w:proofErr w:type="gramStart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купающихся</w:t>
            </w:r>
            <w:proofErr w:type="gramEnd"/>
          </w:p>
        </w:tc>
        <w:tc>
          <w:tcPr>
            <w:tcW w:w="1276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</w:p>
        </w:tc>
        <w:tc>
          <w:tcPr>
            <w:tcW w:w="1701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9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F2" w:rsidRPr="00E241F2" w:rsidTr="00101C7D">
        <w:tc>
          <w:tcPr>
            <w:tcW w:w="2376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Озер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Арбайск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Озеро находится в черте села. Та часть озера, что понемногу цветет, опутана рыболовными сетями, а в чистой воде купаются отдыхающие. Из озера бурным водопадом через искусственно созданный узкий каменный провал вытекает река. В </w:t>
            </w:r>
            <w:r w:rsidRPr="00E2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пене и бурунах водопада, держась за веревки, вращаются любители природного массажа и адреналина.</w:t>
            </w:r>
          </w:p>
        </w:tc>
        <w:tc>
          <w:tcPr>
            <w:tcW w:w="1276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 </w:t>
            </w:r>
          </w:p>
        </w:tc>
        <w:tc>
          <w:tcPr>
            <w:tcW w:w="1701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9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F2" w:rsidRPr="00E241F2" w:rsidTr="00101C7D">
        <w:tc>
          <w:tcPr>
            <w:tcW w:w="2376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Арбайский</w:t>
            </w:r>
          </w:p>
        </w:tc>
        <w:tc>
          <w:tcPr>
            <w:tcW w:w="4111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целый комплекс минеральных солей </w:t>
            </w:r>
          </w:p>
        </w:tc>
        <w:tc>
          <w:tcPr>
            <w:tcW w:w="1276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1701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9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F2" w:rsidRPr="00E241F2" w:rsidTr="00101C7D">
        <w:tc>
          <w:tcPr>
            <w:tcW w:w="2376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Маралятник</w:t>
            </w:r>
            <w:proofErr w:type="spellEnd"/>
          </w:p>
        </w:tc>
        <w:tc>
          <w:tcPr>
            <w:tcW w:w="4111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на территории </w:t>
            </w:r>
            <w:proofErr w:type="spellStart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Арбайского</w:t>
            </w:r>
            <w:proofErr w:type="spellEnd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насчитывает  более 759 голов, 339 рогачей без молодняка. Площадь парка - 800 га.</w:t>
            </w:r>
          </w:p>
        </w:tc>
        <w:tc>
          <w:tcPr>
            <w:tcW w:w="1276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1701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9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F2" w:rsidRPr="00E241F2" w:rsidTr="00101C7D">
        <w:tc>
          <w:tcPr>
            <w:tcW w:w="2376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Река Пезо </w:t>
            </w:r>
          </w:p>
        </w:tc>
        <w:tc>
          <w:tcPr>
            <w:tcW w:w="4111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- одна из самых красивых и мощных рек с быстрым течением. Ширина реки составляет около 50-60 м. На правом </w:t>
            </w:r>
            <w:proofErr w:type="gramStart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берегу</w:t>
            </w:r>
            <w:proofErr w:type="gramEnd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 глубина реки достигает 0,6-0,8 м. Протекает р. Пезо по </w:t>
            </w:r>
            <w:proofErr w:type="spellStart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Пезинскому</w:t>
            </w:r>
            <w:proofErr w:type="spellEnd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 Белогорью и впадает в реку Кан. Известно, что на берегу реки в 19-м веке добывалось золото, а после обвалов лавин добыча золота прекратилась. </w:t>
            </w:r>
            <w:proofErr w:type="gramStart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В окрестностях р. Пезо обитают белка, кабарга, выдра, коза, встречаются медведи, лоси, рябчики, куропатки и многие другие.</w:t>
            </w:r>
            <w:proofErr w:type="gramEnd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 Из обитателей водного мира в р. Пезо можно встретить такие виды рыб, как ленок, таймень и сибирский золотой хариус. </w:t>
            </w:r>
            <w:r w:rsidRPr="00E241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Крутизна береговых склонов затрудняет спуск к реке Пезо. </w:t>
            </w:r>
          </w:p>
        </w:tc>
        <w:tc>
          <w:tcPr>
            <w:tcW w:w="1276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Низкий уровень доступности</w:t>
            </w:r>
          </w:p>
        </w:tc>
        <w:tc>
          <w:tcPr>
            <w:tcW w:w="1701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9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F2" w:rsidRPr="00E241F2" w:rsidTr="00101C7D">
        <w:tc>
          <w:tcPr>
            <w:tcW w:w="2376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Река Кан</w:t>
            </w:r>
          </w:p>
        </w:tc>
        <w:tc>
          <w:tcPr>
            <w:tcW w:w="4111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Кан — река многоликая. В верхнем течении она типично горная, на участке между притоками Янга и </w:t>
            </w:r>
            <w:proofErr w:type="spellStart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Тукша</w:t>
            </w:r>
            <w:proofErr w:type="spellEnd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 сосредоточены все сложные и интересные в спортивном отношении препятствия с элементами 3–4-й категории сложности. Примерно в 2 км ниже устья Янги долина Кана сужается, и река входит в каньон протяженностью около 25 км. Весь этот участок насыщен порогами, </w:t>
            </w:r>
            <w:proofErr w:type="spellStart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шиверами</w:t>
            </w:r>
            <w:proofErr w:type="spellEnd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, прижимами. После выхода из каньона река успокаивается, встречаются лишь перекаты, отдельные камни и завалы. В районе устья Пезо ширина Кана уже 67 м, в районе поселка Орье — 107 м, а после устья </w:t>
            </w:r>
            <w:proofErr w:type="spellStart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Кирели</w:t>
            </w:r>
            <w:proofErr w:type="spellEnd"/>
            <w:r w:rsidRPr="00E241F2">
              <w:rPr>
                <w:rFonts w:ascii="Times New Roman" w:hAnsi="Times New Roman" w:cs="Times New Roman"/>
                <w:sz w:val="24"/>
                <w:szCs w:val="24"/>
              </w:rPr>
              <w:t xml:space="preserve"> предгорья Саян окончательно уступают место лесостепи, и до самого Канска можно плыть без особого экстрима.</w:t>
            </w:r>
          </w:p>
        </w:tc>
        <w:tc>
          <w:tcPr>
            <w:tcW w:w="1276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Доступно не везде</w:t>
            </w:r>
          </w:p>
        </w:tc>
        <w:tc>
          <w:tcPr>
            <w:tcW w:w="1701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F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9" w:type="dxa"/>
          </w:tcPr>
          <w:p w:rsidR="00E241F2" w:rsidRPr="00E241F2" w:rsidRDefault="00E241F2" w:rsidP="0010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29E" w:rsidRPr="00AD329E" w:rsidRDefault="00AD329E" w:rsidP="00AD329E">
      <w:pPr>
        <w:jc w:val="center"/>
        <w:rPr>
          <w:rFonts w:ascii="Times New Roman" w:hAnsi="Times New Roman" w:cs="Times New Roman"/>
          <w:b/>
          <w:sz w:val="28"/>
        </w:rPr>
      </w:pPr>
    </w:p>
    <w:sectPr w:rsidR="00AD329E" w:rsidRPr="00AD329E" w:rsidSect="00101C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29E"/>
    <w:rsid w:val="00101C7D"/>
    <w:rsid w:val="0040345F"/>
    <w:rsid w:val="007A0070"/>
    <w:rsid w:val="00AD329E"/>
    <w:rsid w:val="00E241F2"/>
    <w:rsid w:val="00F6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5F"/>
  </w:style>
  <w:style w:type="paragraph" w:styleId="1">
    <w:name w:val="heading 1"/>
    <w:basedOn w:val="a"/>
    <w:link w:val="10"/>
    <w:uiPriority w:val="9"/>
    <w:qFormat/>
    <w:rsid w:val="007A0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007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w-81</dc:creator>
  <cp:keywords/>
  <dc:description/>
  <cp:lastModifiedBy>user</cp:lastModifiedBy>
  <cp:revision>3</cp:revision>
  <dcterms:created xsi:type="dcterms:W3CDTF">2015-11-24T07:49:00Z</dcterms:created>
  <dcterms:modified xsi:type="dcterms:W3CDTF">2016-08-29T08:38:00Z</dcterms:modified>
</cp:coreProperties>
</file>